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4114C1" w14:textId="5EB52604" w:rsidR="007B024B" w:rsidRPr="006E62FC" w:rsidRDefault="00251D81" w:rsidP="00CB6158">
      <w:pPr>
        <w:pStyle w:val="Datumoben"/>
        <w:spacing w:after="300"/>
        <w:rPr>
          <w:rStyle w:val="Formatvorlage14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Productos y servicios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Marzo de </w:t>
      </w:r>
      <w:r>
        <w:rPr>
          <w:rStyle w:val="Formatvorlage14"/>
          <w:sz w:val="20"/>
        </w:rPr>
        <w:t xml:space="preserve">2024</w:t>
      </w:r>
    </w:p>
    <w:p w14:paraId="3DA34F58" w14:textId="4C7E6F8B" w:rsidR="00844322" w:rsidRDefault="00525A2A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Nuevos conceptos de envasado para los productos CAD/CAM y DISC de VITA</w:t>
      </w:r>
    </w:p>
    <w:p w14:paraId="60790DA9" w14:textId="77777777" w:rsidR="00EB41C2" w:rsidRDefault="00EB41C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</w:p>
    <w:p w14:paraId="1C270FE2" w14:textId="3C5AE976" w:rsidR="00B7336C" w:rsidRDefault="00525A2A" w:rsidP="00E31B64">
      <w:pPr>
        <w:spacing w:after="480"/>
        <w:rPr>
          <w:rFonts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 objeto de mejorar aún más la protección de los productos de VITA y utilizar materiales de embalaje sostenibles, se han optimizado los envases de los bloques CAD/CAM y de los productos DISC de VITA.</w:t>
      </w:r>
    </w:p>
    <w:p w14:paraId="5615E7F4" w14:textId="77777777" w:rsidR="00525A2A" w:rsidRP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  <w:b/>
          <w:bCs/>
          <w:color w:val="DC0064" w:themeColor="accent1"/>
        </w:rPr>
        <w:t xml:space="preserve">Envases para CAD/CAM</w:t>
        <w:br/>
      </w:r>
      <w:r>
        <w:rPr>
          <w:rFonts w:ascii="Arial" w:hAnsi="Arial" w:cs="Arial"/>
        </w:rPr>
        <w:t xml:space="preserve">A partir de abril de 2024, los bloques CAD/CAM de VITA se empezarán a suministrar gradualmente en cajas plegables estandarizadas.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Mediante esta optimización, se reduce de 12 a 6 el número de variantes de envase. La diferenciación entre los productos tiene lugar ahora mediante el etiquetado inequívoco.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Constituyen una excepción los productos VITA YZ de más de 55 mm y VITA CAD-Waxx, así como VITA CAD-Temp con altura superior a 65 mm, los cuales continuarán estando disponibles en envases especiales.</w:t>
      </w:r>
      <w:r>
        <w:rPr>
          <w:rFonts w:ascii="Arial" w:hAnsi="Arial" w:cs="Arial"/>
        </w:rPr>
        <w:t xml:space="preserve"> </w:t>
      </w:r>
    </w:p>
    <w:p w14:paraId="4F81DB32" w14:textId="77777777" w:rsid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Los nuevos envases de bloques prescinden de insertos de espuma e incorporan en su lugar una cavidad de cartón que proporciona una protección óptima de los productos.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Los códigos QR presentes en los envases permiten acceder digitalmente a las instrucciones de uso, con la consiguiente reducción del consumo de papel.</w:t>
      </w:r>
    </w:p>
    <w:p w14:paraId="4D376129" w14:textId="77777777" w:rsidR="00525A2A" w:rsidRDefault="00525A2A" w:rsidP="003A2805">
      <w:pPr>
        <w:spacing w:after="120" w:line="360" w:lineRule="auto"/>
        <w:rPr>
          <w:rFonts w:cs="Arial"/>
          <w:b/>
          <w:bCs/>
          <w:color w:val="DC0064" w:themeColor="accent1"/>
        </w:rPr>
      </w:pPr>
    </w:p>
    <w:p w14:paraId="6AA8C35F" w14:textId="675BF0F2" w:rsidR="00525A2A" w:rsidRDefault="00525A2A" w:rsidP="003A2805">
      <w:pPr>
        <w:spacing w:after="120" w:line="36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Envases de DISC</w:t>
      </w:r>
    </w:p>
    <w:p w14:paraId="6E6217D7" w14:textId="77777777" w:rsidR="00525A2A" w:rsidRP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También se han introducido mejoras notables en los envases de DISC.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Las películas de plástico y los insertos de espuma han sido sustituidos por cartones y semicoquillas de celulosa respetuosos con el medio ambiente, lo cual se traduce en una considerable reducción del volumen de residuos.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Además, los códigos QR presentes en el embalaje externo promueven la presentación digital de instrucciones de uso, lo que reduce aún más el consumo de papel.</w:t>
      </w:r>
    </w:p>
    <w:p w14:paraId="1ADAFB99" w14:textId="77777777" w:rsidR="00525A2A" w:rsidRDefault="00525A2A" w:rsidP="00525A2A">
      <w:pPr>
        <w:spacing w:after="120" w:line="360" w:lineRule="auto"/>
        <w:rPr>
          <w:rFonts w:cs="Arial"/>
        </w:rPr>
      </w:pPr>
      <w:r>
        <w:rPr>
          <w:rFonts w:ascii="Arial" w:hAnsi="Arial" w:cs="Arial"/>
        </w:rPr>
        <w:t xml:space="preserve">También se ha actualizado el diseño de los nuevos estuches, que ahora están concebidos como cajas cerradas con una base automática, y se ha armonizado con el diseño de los envases de bloques.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También en este caso, la distinción entre los productos tiene lugar mediante la etiqueta, de modo que se minimiza el envasado.</w:t>
      </w:r>
    </w:p>
    <w:p w14:paraId="6F6E0D2B" w14:textId="77777777" w:rsidR="00525A2A" w:rsidRDefault="00525A2A" w:rsidP="00525A2A">
      <w:pPr>
        <w:spacing w:after="120" w:line="360" w:lineRule="auto"/>
      </w:pPr>
    </w:p>
    <w:p w14:paraId="4001688C" w14:textId="369D9D36" w:rsidR="00C82603" w:rsidRPr="00C239F2" w:rsidRDefault="00C82603" w:rsidP="00C82603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ascii="Arial" w:hAnsi="Arial" w:cs="Arial"/>
          <w:b/>
          <w:bCs/>
          <w:color w:val="DC0064" w:themeColor="accent1"/>
        </w:rPr>
        <w:t xml:space="preserve">Información adicional </w:t>
      </w:r>
    </w:p>
    <w:p w14:paraId="1998B0E5" w14:textId="6B075BC4" w:rsidR="00525A2A" w:rsidRDefault="00525A2A" w:rsidP="00525A2A">
      <w:pPr>
        <w:spacing w:after="120" w:line="360" w:lineRule="auto"/>
      </w:pPr>
      <w:r>
        <w:t xml:space="preserve">Disponibilidad: Introducción gradual de los nuevos envases a partir del 01/04/2024.</w:t>
      </w:r>
    </w:p>
    <w:p w14:paraId="49424392" w14:textId="14585BFA" w:rsidR="003A2805" w:rsidRPr="0069569F" w:rsidRDefault="00525A2A" w:rsidP="00525A2A">
      <w:pPr>
        <w:spacing w:after="120" w:line="360" w:lineRule="auto"/>
        <w:rPr>
          <w:rFonts w:cs="Arial"/>
        </w:rPr>
      </w:pPr>
      <w:r>
        <w:t xml:space="preserve">Nota: Es posible que durante la fase de transición se entreguen envases nuevos junto con los antiguos.</w:t>
        <w:br/>
      </w:r>
    </w:p>
    <w:p w14:paraId="7A2A3978" w14:textId="77777777" w:rsidR="00C82603" w:rsidRDefault="00C82603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drawing>
          <wp:inline distT="0" distB="0" distL="0" distR="0" wp14:anchorId="74D1FBA3" wp14:editId="403A5669">
            <wp:extent cx="4756150" cy="2819170"/>
            <wp:effectExtent l="0" t="0" r="6350" b="635"/>
            <wp:docPr id="1387371038" name="Grafik 1" descr="Ein Bild, das Text, Marke, Logo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371038" name="Grafik 1" descr="Ein Bild, das Text, Marke, Logo, Grafik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964" cy="2822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0ED1C613" w:rsidR="003A2805" w:rsidRPr="00990E7D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Fonts w:ascii="Arial" w:hAnsi="Arial" w:cs="Arial"/>
          <w:rStyle w:val="Formatvorlage14"/>
          <w:b w:val="0"/>
          <w:bCs w:val="0"/>
          <w:color w:val="4D4D4D" w:themeColor="accent3"/>
          <w:sz w:val="18"/>
          <w:szCs w:val="18"/>
        </w:rPr>
        <w:t xml:space="preserve">Fig. 1: Se han optimizado los envases de los bloques CAD/CAM y de los productos DISC de VITA.</w:t>
      </w:r>
    </w:p>
    <w:p w14:paraId="15A2213C" w14:textId="77777777" w:rsidR="001D64C2" w:rsidRPr="001D64C2" w:rsidRDefault="001D64C2" w:rsidP="001D64C2">
      <w:pPr>
        <w:spacing w:after="480" w:line="360" w:lineRule="auto"/>
        <w:rPr>
          <w:rFonts w:cs="Arial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5728CAEB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 empresa familiar del sector dental VITA Zahnfabrik H. Rauter GmbH &amp; Co. KG, gestionada por la cuarta generación, tiene su sede en Bad Säckingen, en el sur de Alemania.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desarrolla, produce y comercializa desde hace 100 años productos y soluciones de tratamiento innovadores y de alta calidad para la prostodoncia y la odontología.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Más de 600 empleados trabajan para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Desde su excelencia científica y por medio de programas de formación continua específicos, VITA presta apoyo y asesoramiento en su trabajo diario a expertos dentales de más de 125 países.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766158C9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Este “PERFECT MATCH” se hace patente en el laboratorio y la clínica, desde la determinación precisa del color dental hasta la restauración terminada y el cementado.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De este modo,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5728CAEB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 empresa familiar del sector dental VITA Zahnfabrik H. Rauter GmbH &amp; Co. KG, gestionada por la cuarta generación, tiene su sede en Bad Säckingen, en el sur de Alemania.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desarrolla, produce y comercializa desde hace 100 años productos y soluciones de tratamiento innovadores y de alta calidad para la prostodoncia y la odontología.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Más de 600 empleados trabajan para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Las necesidades de los usuarios también revisten prioridad en el desarrollo de soluciones de sistema innovadoras para la reproducción funcional y estética de la sustancia dental dura.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Desde su excelencia científica y por medio de programas de formación continua específicos, VITA presta apoyo y asesoramiento en su trabajo diario a expertos dentales de más de 125 países.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766158C9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Este “PERFECT MATCH” se hace patente en el laboratorio y la clínica, desde la determinación precisa del color dental hasta la restauración terminada y el cementado.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De este modo,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contribuye a la calidad de vida de las personas.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AB3952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951CA3" w14:textId="77777777" w:rsidR="00AB3952" w:rsidRDefault="00AB3952" w:rsidP="00604131">
      <w:r>
        <w:separator/>
      </w:r>
    </w:p>
    <w:p w14:paraId="73783995" w14:textId="77777777" w:rsidR="00AB3952" w:rsidRDefault="00AB3952" w:rsidP="00604131"/>
  </w:endnote>
  <w:endnote w:type="continuationSeparator" w:id="0">
    <w:p w14:paraId="24D30258" w14:textId="77777777" w:rsidR="00AB3952" w:rsidRDefault="00AB3952" w:rsidP="00604131">
      <w:r>
        <w:continuationSeparator/>
      </w:r>
    </w:p>
    <w:p w14:paraId="4E0DAB4E" w14:textId="77777777" w:rsidR="00AB3952" w:rsidRDefault="00AB3952" w:rsidP="00604131"/>
  </w:endnote>
  <w:endnote w:type="continuationNotice" w:id="1">
    <w:p w14:paraId="0EB2DB28" w14:textId="77777777" w:rsidR="00AB3952" w:rsidRDefault="00AB395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Relaciones públicas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Teléfono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Relaciones públicas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Teléfono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noProof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Si tiene cualquier pregunta, diríjase a: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Elena Schulz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Coordinadora de RR. PP.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Teléfono +49 7761 562-516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Si tiene cualquier pregunta, diríjase a: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Elena Schulz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Coordinadora de RR. PP.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Teléfono +49 7761 562-516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5794B" w14:textId="77777777" w:rsidR="00AB3952" w:rsidRDefault="00AB3952" w:rsidP="00604131">
      <w:r>
        <w:separator/>
      </w:r>
    </w:p>
    <w:p w14:paraId="41DAF336" w14:textId="77777777" w:rsidR="00AB3952" w:rsidRDefault="00AB3952" w:rsidP="00604131"/>
  </w:footnote>
  <w:footnote w:type="continuationSeparator" w:id="0">
    <w:p w14:paraId="31D5F473" w14:textId="77777777" w:rsidR="00AB3952" w:rsidRDefault="00AB3952" w:rsidP="00604131">
      <w:r>
        <w:continuationSeparator/>
      </w:r>
    </w:p>
    <w:p w14:paraId="780FA4B5" w14:textId="77777777" w:rsidR="00AB3952" w:rsidRDefault="00AB3952" w:rsidP="00604131"/>
  </w:footnote>
  <w:footnote w:type="continuationNotice" w:id="1">
    <w:p w14:paraId="1A5B8883" w14:textId="77777777" w:rsidR="00AB3952" w:rsidRDefault="00AB395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COMUNICADO DE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</w:rPr>
                      <w:t xml:space="preserve">COMUNICADO DE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5521"/>
    <w:rsid w:val="00225AC3"/>
    <w:rsid w:val="00226B33"/>
    <w:rsid w:val="00227247"/>
    <w:rsid w:val="002314D6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6245E"/>
    <w:rsid w:val="00263C38"/>
    <w:rsid w:val="00263F8F"/>
    <w:rsid w:val="002657E3"/>
    <w:rsid w:val="00265AA3"/>
    <w:rsid w:val="00265D83"/>
    <w:rsid w:val="00266949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2805"/>
    <w:rsid w:val="003A5191"/>
    <w:rsid w:val="003A65BB"/>
    <w:rsid w:val="003A65DA"/>
    <w:rsid w:val="003A70C7"/>
    <w:rsid w:val="003A7B1B"/>
    <w:rsid w:val="003B0D3E"/>
    <w:rsid w:val="003B1CD2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5A2A"/>
    <w:rsid w:val="00526300"/>
    <w:rsid w:val="0052705E"/>
    <w:rsid w:val="005318CB"/>
    <w:rsid w:val="005350C8"/>
    <w:rsid w:val="00536323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490"/>
    <w:rsid w:val="006160CA"/>
    <w:rsid w:val="006164C7"/>
    <w:rsid w:val="006165B6"/>
    <w:rsid w:val="00616E3B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5E20"/>
    <w:rsid w:val="006B62E7"/>
    <w:rsid w:val="006C1415"/>
    <w:rsid w:val="006C1BFA"/>
    <w:rsid w:val="006C2465"/>
    <w:rsid w:val="006C2DCB"/>
    <w:rsid w:val="006C30A0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829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B8"/>
    <w:rsid w:val="00955005"/>
    <w:rsid w:val="00957AF7"/>
    <w:rsid w:val="00957F37"/>
    <w:rsid w:val="00961579"/>
    <w:rsid w:val="009624E0"/>
    <w:rsid w:val="009630BC"/>
    <w:rsid w:val="009636C3"/>
    <w:rsid w:val="009638EF"/>
    <w:rsid w:val="00964688"/>
    <w:rsid w:val="00966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A00543"/>
    <w:rsid w:val="00A022F0"/>
    <w:rsid w:val="00A025BD"/>
    <w:rsid w:val="00A02959"/>
    <w:rsid w:val="00A0390D"/>
    <w:rsid w:val="00A04D40"/>
    <w:rsid w:val="00A0664A"/>
    <w:rsid w:val="00A07FCF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45EB"/>
    <w:rsid w:val="00AA5E63"/>
    <w:rsid w:val="00AA797C"/>
    <w:rsid w:val="00AB23F4"/>
    <w:rsid w:val="00AB3087"/>
    <w:rsid w:val="00AB3952"/>
    <w:rsid w:val="00AB3CFC"/>
    <w:rsid w:val="00AB4190"/>
    <w:rsid w:val="00AC1565"/>
    <w:rsid w:val="00AC1C6B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20121"/>
    <w:rsid w:val="00B2028E"/>
    <w:rsid w:val="00B20C3D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6F8C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2603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30159"/>
    <w:rsid w:val="00D302D8"/>
    <w:rsid w:val="00D30874"/>
    <w:rsid w:val="00D33271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C186E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6B08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60CC"/>
    <w:rsid w:val="00FA7BF8"/>
    <w:rsid w:val="00FB1BB3"/>
    <w:rsid w:val="00FB3A17"/>
    <w:rsid w:val="00FB61C9"/>
    <w:rsid w:val="00FB6279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09D4"/>
    <w:pPr>
      <w:keepNext/>
      <w:keepLines/>
      <w:spacing w:before="40"/>
      <w:outlineLvl w:val="1"/>
    </w:pPr>
    <w:rPr>
      <w:rFonts w:ascii="Calibri Light" w:asciiTheme="majorHAnsi" w:eastAsiaTheme="majorEastAsia" w:hAnsi="Calibri Light" w:hAnsiTheme="majorHAnsi" w:cstheme="majorBidi"/>
      <w:color w:val="A4004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="Calibri Light" w:asciiTheme="majorHAnsi" w:eastAsiaTheme="majorEastAsia" w:hAnsi="Calibri Light" w:hAnsiTheme="majorHAnsi" w:cstheme="majorBidi"/>
      <w:color w:val="6D0031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="Calibri Light" w:asciiTheme="majorHAnsi" w:eastAsiaTheme="majorEastAsia" w:hAnsi="Calibri Light" w:hAnsiTheme="majorHAnsi" w:cstheme="majorBidi"/>
      <w:i/>
      <w:iCs/>
      <w:color w:val="A4004A" w:themeColor="accent1" w:themeShade="BF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60CB"/>
    <w:rPr>
      <w:rFonts w:ascii="Calibri Light" w:asciiTheme="majorHAnsi" w:eastAsiaTheme="majorEastAsia" w:hAnsi="Calibri Light" w:hAnsiTheme="majorHAnsi" w:cstheme="majorBidi"/>
      <w:i/>
      <w:iCs/>
      <w:color w:val="A4004A" w:themeColor="accent1" w:themeShade="BF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660CB"/>
    <w:rPr>
      <w:rFonts w:ascii="Calibri Light" w:asciiTheme="majorHAnsi" w:eastAsiaTheme="majorEastAsia" w:hAnsi="Calibri Light" w:hAnsiTheme="majorHAnsi" w:cstheme="majorBidi"/>
      <w:color w:val="6D0031" w:themeColor="accent1" w:themeShade="7F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309D4"/>
    <w:rPr>
      <w:rFonts w:ascii="Calibri Light" w:asciiTheme="majorHAnsi" w:eastAsiaTheme="majorEastAsia" w:hAnsi="Calibri Light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Absatz-Standardschriftart"/>
    <w:rsid w:val="0010218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0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245</Words>
  <Characters>1745</Characters>
  <Application>Microsoft Office Word</Application>
  <DocSecurity>0</DocSecurity>
  <Lines>36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11</cp:revision>
  <cp:lastPrinted>2023-06-26T10:19:00Z</cp:lastPrinted>
  <dcterms:created xsi:type="dcterms:W3CDTF">2024-02-23T17:10:00Z</dcterms:created>
  <dcterms:modified xsi:type="dcterms:W3CDTF">2024-03-11T14:42:00Z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